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 w:asciiTheme="majorEastAsia" w:hAnsiTheme="majorEastAsia" w:eastAsiaTheme="majorEastAsia" w:cstheme="majorEastAsia"/>
          <w:b w:val="0"/>
          <w:i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25 二〇二二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年奉新县本级国有资本经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营预算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支出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2022年奉新县本级国有资本经营预算支出决算较上年下降53.19%，其中解决历史遗留问题及改革成本支出下降较大，主要原因是</w:t>
      </w:r>
      <w:r>
        <w:rPr>
          <w:rFonts w:hint="eastAsia" w:ascii="仿宋" w:hAnsi="仿宋" w:eastAsia="仿宋" w:cs="仿宋"/>
          <w:sz w:val="32"/>
          <w:szCs w:val="32"/>
        </w:rPr>
        <w:t>事业单位机构改革，国资局并入财政局，支出项目减少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6FDD"/>
    <w:rsid w:val="16073A86"/>
    <w:rsid w:val="1D5B26B8"/>
    <w:rsid w:val="24510DC3"/>
    <w:rsid w:val="4FD15ABA"/>
    <w:rsid w:val="715A3454"/>
    <w:rsid w:val="733007C7"/>
    <w:rsid w:val="7A170E5B"/>
    <w:rsid w:val="7C6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2023-11-15T03:33:57Z</cp:lastPrinted>
  <dcterms:modified xsi:type="dcterms:W3CDTF">2023-11-15T03:36:35Z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